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FF" w:rsidRDefault="005F66F0" w:rsidP="007311FF">
      <w:pPr>
        <w:jc w:val="center"/>
        <w:rPr>
          <w:b/>
        </w:rPr>
      </w:pPr>
      <w:bookmarkStart w:id="0" w:name="_GoBack"/>
      <w:bookmarkEnd w:id="0"/>
      <w:r w:rsidRPr="007311FF">
        <w:rPr>
          <w:b/>
        </w:rPr>
        <w:t>Digital Regulatory Reporting</w:t>
      </w:r>
      <w:r>
        <w:rPr>
          <w:b/>
        </w:rPr>
        <w:t xml:space="preserve"> (DRR)</w:t>
      </w:r>
      <w:r w:rsidRPr="007311FF">
        <w:rPr>
          <w:b/>
        </w:rPr>
        <w:t xml:space="preserve"> </w:t>
      </w:r>
    </w:p>
    <w:p w:rsidR="00CD1558" w:rsidRDefault="005F66F0" w:rsidP="007311FF">
      <w:pPr>
        <w:jc w:val="center"/>
        <w:rPr>
          <w:b/>
        </w:rPr>
      </w:pPr>
      <w:r>
        <w:rPr>
          <w:b/>
        </w:rPr>
        <w:t xml:space="preserve">‘Operational’ Cost </w:t>
      </w:r>
      <w:r w:rsidRPr="007311FF">
        <w:rPr>
          <w:b/>
        </w:rPr>
        <w:t>Survey</w:t>
      </w:r>
    </w:p>
    <w:p w:rsidR="00064548" w:rsidRDefault="005F66F0" w:rsidP="007311FF">
      <w:pPr>
        <w:rPr>
          <w:b/>
        </w:rPr>
      </w:pPr>
      <w:r>
        <w:rPr>
          <w:b/>
        </w:rPr>
        <w:t>Purpose of the Survey:</w:t>
      </w:r>
    </w:p>
    <w:p w:rsidR="00064548" w:rsidRPr="005A1C5F" w:rsidRDefault="005F66F0" w:rsidP="00064548">
      <w:pPr>
        <w:spacing w:line="252" w:lineRule="auto"/>
        <w:jc w:val="both"/>
        <w:rPr>
          <w:rFonts w:ascii="Calibri" w:hAnsi="Calibri" w:cs="Calibri"/>
          <w:color w:val="000000"/>
          <w:lang w:eastAsia="en-GB"/>
        </w:rPr>
      </w:pPr>
      <w:r w:rsidRPr="005A1C5F">
        <w:rPr>
          <w:rFonts w:ascii="Calibri" w:hAnsi="Calibri" w:cs="Calibri"/>
          <w:color w:val="000000"/>
          <w:lang w:eastAsia="en-GB"/>
        </w:rPr>
        <w:t xml:space="preserve">The purpose of this survey is to better understand </w:t>
      </w:r>
      <w:r w:rsidRPr="005A1C5F">
        <w:rPr>
          <w:rFonts w:ascii="Calibri" w:hAnsi="Calibri" w:cs="Calibri"/>
          <w:color w:val="000000"/>
          <w:lang w:eastAsia="en-GB"/>
        </w:rPr>
        <w:t xml:space="preserve">the feasibility and potential </w:t>
      </w:r>
      <w:r w:rsidRPr="005A1C5F">
        <w:rPr>
          <w:rFonts w:ascii="Calibri" w:hAnsi="Calibri" w:cs="Calibri"/>
          <w:color w:val="000000"/>
          <w:lang w:eastAsia="en-GB"/>
        </w:rPr>
        <w:t xml:space="preserve">of digital regulatory reporting in different jurisdictions. It has been organised by the Global Financial Innovation Network (GFIN) RegTech Workstream. </w:t>
      </w:r>
    </w:p>
    <w:p w:rsidR="00064548" w:rsidRPr="00064548" w:rsidRDefault="005F66F0" w:rsidP="00064548">
      <w:pPr>
        <w:spacing w:line="252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311FF" w:rsidRDefault="005F66F0" w:rsidP="007311FF">
      <w:pPr>
        <w:rPr>
          <w:b/>
        </w:rPr>
      </w:pPr>
      <w:r>
        <w:rPr>
          <w:b/>
        </w:rPr>
        <w:t>Firm and Survey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Domain:</w:t>
            </w:r>
          </w:p>
        </w:tc>
        <w:tc>
          <w:tcPr>
            <w:tcW w:w="7320" w:type="dxa"/>
          </w:tcPr>
          <w:p w:rsidR="007311FF" w:rsidRPr="007311FF" w:rsidRDefault="005F66F0" w:rsidP="007311FF">
            <w:r w:rsidRPr="007311FF">
              <w:t>All Regulatory Reporting</w:t>
            </w:r>
          </w:p>
        </w:tc>
      </w:tr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320" w:type="dxa"/>
          </w:tcPr>
          <w:p w:rsidR="007311FF" w:rsidRDefault="005F66F0" w:rsidP="007311FF">
            <w:pPr>
              <w:rPr>
                <w:b/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We are looking to understand opera</w:t>
            </w:r>
            <w:r w:rsidRPr="007311FF">
              <w:rPr>
                <w:rFonts w:ascii="Calibri" w:hAnsi="Calibri" w:cs="Calibri"/>
                <w:color w:val="000000"/>
                <w:lang w:eastAsia="en-GB"/>
              </w:rPr>
              <w:t>tional costs related to all regulatory reporting to help in assessing the feasibility of investment in more automated processes for reporting</w:t>
            </w:r>
          </w:p>
        </w:tc>
      </w:tr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Firm details:</w:t>
            </w:r>
          </w:p>
        </w:tc>
        <w:tc>
          <w:tcPr>
            <w:tcW w:w="7320" w:type="dxa"/>
          </w:tcPr>
          <w:p w:rsidR="007311FF" w:rsidRDefault="005F66F0" w:rsidP="007311FF">
            <w:pPr>
              <w:rPr>
                <w:b/>
              </w:rPr>
            </w:pPr>
          </w:p>
        </w:tc>
      </w:tr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FRN Number:</w:t>
            </w:r>
          </w:p>
        </w:tc>
        <w:tc>
          <w:tcPr>
            <w:tcW w:w="7320" w:type="dxa"/>
          </w:tcPr>
          <w:p w:rsidR="007311FF" w:rsidRDefault="005F66F0" w:rsidP="007311FF">
            <w:pPr>
              <w:rPr>
                <w:b/>
              </w:rPr>
            </w:pPr>
          </w:p>
        </w:tc>
      </w:tr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Firm Name</w:t>
            </w:r>
          </w:p>
        </w:tc>
        <w:tc>
          <w:tcPr>
            <w:tcW w:w="7320" w:type="dxa"/>
          </w:tcPr>
          <w:p w:rsidR="007311FF" w:rsidRDefault="005F66F0" w:rsidP="007311FF">
            <w:pPr>
              <w:rPr>
                <w:b/>
              </w:rPr>
            </w:pPr>
          </w:p>
        </w:tc>
      </w:tr>
      <w:tr w:rsidR="0001323D" w:rsidTr="007311FF">
        <w:tc>
          <w:tcPr>
            <w:tcW w:w="1696" w:type="dxa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Consolidated or Solo view:</w:t>
            </w:r>
          </w:p>
        </w:tc>
        <w:tc>
          <w:tcPr>
            <w:tcW w:w="7320" w:type="dxa"/>
          </w:tcPr>
          <w:p w:rsidR="007311FF" w:rsidRDefault="005F66F0" w:rsidP="007311FF">
            <w:pPr>
              <w:rPr>
                <w:b/>
              </w:rPr>
            </w:pPr>
          </w:p>
        </w:tc>
      </w:tr>
    </w:tbl>
    <w:p w:rsidR="007311FF" w:rsidRDefault="005F66F0" w:rsidP="007311FF">
      <w:pPr>
        <w:rPr>
          <w:b/>
        </w:rPr>
      </w:pPr>
    </w:p>
    <w:p w:rsidR="007311FF" w:rsidRDefault="005F66F0" w:rsidP="007311FF">
      <w:pPr>
        <w:rPr>
          <w:b/>
        </w:rPr>
      </w:pPr>
      <w:r>
        <w:rPr>
          <w:b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323D" w:rsidTr="007311FF">
        <w:tc>
          <w:tcPr>
            <w:tcW w:w="9016" w:type="dxa"/>
            <w:gridSpan w:val="2"/>
            <w:shd w:val="clear" w:color="auto" w:fill="FBE4D5" w:themeFill="accent2" w:themeFillTint="33"/>
          </w:tcPr>
          <w:p w:rsidR="007311FF" w:rsidRDefault="005F66F0" w:rsidP="007311FF">
            <w:pPr>
              <w:rPr>
                <w:b/>
              </w:rPr>
            </w:pPr>
            <w:r>
              <w:rPr>
                <w:b/>
              </w:rPr>
              <w:t>Total cost and/or resource</w:t>
            </w: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What are your annual costs to support reporting?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Below £50K</w:t>
            </w:r>
          </w:p>
        </w:tc>
      </w:tr>
      <w:tr w:rsidR="0001323D" w:rsidTr="007311FF">
        <w:tc>
          <w:tcPr>
            <w:tcW w:w="4508" w:type="dxa"/>
            <w:vMerge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£50k- £100k</w:t>
            </w:r>
          </w:p>
        </w:tc>
      </w:tr>
      <w:tr w:rsidR="0001323D" w:rsidTr="007311FF">
        <w:tc>
          <w:tcPr>
            <w:tcW w:w="4508" w:type="dxa"/>
            <w:vMerge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£100K- £250k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£250k - £500k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£500k - £1m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£1m - £2m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£2m-5m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£5m+</w:t>
            </w:r>
          </w:p>
        </w:tc>
      </w:tr>
      <w:tr w:rsidR="0001323D" w:rsidTr="00C46206">
        <w:tc>
          <w:tcPr>
            <w:tcW w:w="9016" w:type="dxa"/>
            <w:gridSpan w:val="2"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What is the total number of resource (FTE) to support reporting?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0 - 10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10 - 25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25 - 50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50 - 75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75+</w:t>
            </w:r>
          </w:p>
        </w:tc>
      </w:tr>
      <w:tr w:rsidR="0001323D" w:rsidTr="007311FF">
        <w:tc>
          <w:tcPr>
            <w:tcW w:w="9016" w:type="dxa"/>
            <w:gridSpan w:val="2"/>
            <w:shd w:val="clear" w:color="auto" w:fill="FBE4D5" w:themeFill="accent2" w:themeFillTint="33"/>
          </w:tcPr>
          <w:p w:rsidR="007311FF" w:rsidRDefault="005F66F0" w:rsidP="007311FF">
            <w:pPr>
              <w:rPr>
                <w:b/>
              </w:rPr>
            </w:pPr>
            <w:r w:rsidRPr="007311FF">
              <w:rPr>
                <w:b/>
              </w:rPr>
              <w:t>Allocation of effort</w:t>
            </w:r>
          </w:p>
        </w:tc>
      </w:tr>
      <w:tr w:rsidR="0001323D" w:rsidTr="007311FF"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What is your total cost of reporting?</w:t>
            </w:r>
          </w:p>
        </w:tc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6A2A56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Default="005F66F0" w:rsidP="007311FF">
            <w:pPr>
              <w:rPr>
                <w:b/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What percentage of total resource/cost is applied for the interpretation and implementation of new/updated regulation?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0-20%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20-40%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40-60%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60-80%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80-100%</w:t>
            </w:r>
          </w:p>
        </w:tc>
      </w:tr>
      <w:tr w:rsidR="0001323D" w:rsidTr="003F5509">
        <w:tc>
          <w:tcPr>
            <w:tcW w:w="9016" w:type="dxa"/>
            <w:gridSpan w:val="2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 xml:space="preserve">What percentage of total resource/cost is applied for the production of data (i.e. pulling </w:t>
            </w:r>
            <w:r w:rsidRPr="007311FF">
              <w:rPr>
                <w:rFonts w:ascii="Calibri" w:hAnsi="Calibri" w:cs="Calibri"/>
                <w:color w:val="000000"/>
                <w:lang w:eastAsia="en-GB"/>
              </w:rPr>
              <w:lastRenderedPageBreak/>
              <w:t>all underlying data together, summarisation of data, production of reports)?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lastRenderedPageBreak/>
              <w:t>0-20%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20-40%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40-60%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60-80%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80-100%</w:t>
            </w:r>
          </w:p>
        </w:tc>
      </w:tr>
      <w:tr w:rsidR="0001323D" w:rsidTr="005D7D74">
        <w:tc>
          <w:tcPr>
            <w:tcW w:w="9016" w:type="dxa"/>
            <w:gridSpan w:val="2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 xml:space="preserve">What percentage of total resource/cost is </w:t>
            </w:r>
            <w:r w:rsidRPr="007311FF">
              <w:rPr>
                <w:rFonts w:ascii="Calibri" w:hAnsi="Calibri" w:cs="Calibri"/>
                <w:color w:val="000000"/>
                <w:lang w:eastAsia="en-GB"/>
              </w:rPr>
              <w:t>applied to communication (i.e. transformation of reports in to submit able format, transmission of reports to regulators)?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0-20%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20-40%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40-60%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60-80%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80-100%</w:t>
            </w:r>
          </w:p>
        </w:tc>
      </w:tr>
      <w:tr w:rsidR="0001323D" w:rsidTr="00FA1C23">
        <w:tc>
          <w:tcPr>
            <w:tcW w:w="9016" w:type="dxa"/>
            <w:gridSpan w:val="2"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 xml:space="preserve">What percentage of total resource/cost is applied for dealing with queries (both </w:t>
            </w:r>
            <w:r w:rsidRPr="007311FF">
              <w:rPr>
                <w:rFonts w:ascii="Calibri" w:hAnsi="Calibri" w:cs="Calibri"/>
                <w:color w:val="000000"/>
                <w:lang w:eastAsia="en-GB"/>
              </w:rPr>
              <w:t>internal queries prior to submission, as well as queries received from regulators on submitted numbers)?</w:t>
            </w: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0-20%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20-40%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40-60%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60-80%</w:t>
            </w:r>
          </w:p>
        </w:tc>
      </w:tr>
      <w:tr w:rsidR="0001323D" w:rsidTr="007311FF">
        <w:tc>
          <w:tcPr>
            <w:tcW w:w="4508" w:type="dxa"/>
            <w:vMerge/>
          </w:tcPr>
          <w:p w:rsidR="007311FF" w:rsidRDefault="005F66F0" w:rsidP="007311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7311FF" w:rsidRPr="007311F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80-100%</w:t>
            </w:r>
          </w:p>
        </w:tc>
      </w:tr>
      <w:tr w:rsidR="0001323D" w:rsidTr="005C07DF">
        <w:tc>
          <w:tcPr>
            <w:tcW w:w="9016" w:type="dxa"/>
            <w:gridSpan w:val="2"/>
            <w:shd w:val="clear" w:color="auto" w:fill="FBE4D5" w:themeFill="accent2" w:themeFillTint="33"/>
          </w:tcPr>
          <w:p w:rsidR="007311FF" w:rsidRDefault="005F66F0" w:rsidP="005C07DF">
            <w:pPr>
              <w:rPr>
                <w:b/>
              </w:rPr>
            </w:pPr>
            <w:r>
              <w:rPr>
                <w:b/>
              </w:rPr>
              <w:t>Areas of focus</w:t>
            </w:r>
          </w:p>
        </w:tc>
      </w:tr>
      <w:tr w:rsidR="0001323D" w:rsidTr="007311FF">
        <w:tc>
          <w:tcPr>
            <w:tcW w:w="4508" w:type="dxa"/>
            <w:vMerge w:val="restart"/>
          </w:tcPr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What change to regulatory reporting would result in the most challenging implementation in </w:t>
            </w:r>
            <w:r>
              <w:rPr>
                <w:rFonts w:ascii="Calibri" w:hAnsi="Calibri" w:cs="Calibri"/>
                <w:color w:val="000000"/>
                <w:lang w:eastAsia="en-GB"/>
              </w:rPr>
              <w:t>your firm?</w:t>
            </w:r>
          </w:p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5C07DF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5C07DF" w:rsidRPr="007311FF" w:rsidRDefault="005F66F0" w:rsidP="007311FF">
            <w:r>
              <w:t>Machine Executable rules (rules published as code)</w:t>
            </w:r>
          </w:p>
        </w:tc>
      </w:tr>
      <w:tr w:rsidR="0001323D" w:rsidTr="007311FF">
        <w:tc>
          <w:tcPr>
            <w:tcW w:w="4508" w:type="dxa"/>
            <w:vMerge/>
          </w:tcPr>
          <w:p w:rsidR="005C07DF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5C07DF" w:rsidRDefault="005F66F0" w:rsidP="007311FF">
            <w:r>
              <w:t>Common data standards</w:t>
            </w:r>
          </w:p>
        </w:tc>
      </w:tr>
      <w:tr w:rsidR="0001323D" w:rsidTr="007311FF">
        <w:tc>
          <w:tcPr>
            <w:tcW w:w="4508" w:type="dxa"/>
            <w:vMerge/>
          </w:tcPr>
          <w:p w:rsidR="005C07DF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5C07DF" w:rsidRDefault="005F66F0" w:rsidP="007311FF">
            <w:r>
              <w:t>Standard industry data model</w:t>
            </w:r>
          </w:p>
        </w:tc>
      </w:tr>
      <w:tr w:rsidR="0001323D" w:rsidTr="00F6653A">
        <w:trPr>
          <w:trHeight w:val="469"/>
        </w:trPr>
        <w:tc>
          <w:tcPr>
            <w:tcW w:w="4508" w:type="dxa"/>
            <w:vMerge/>
          </w:tcPr>
          <w:p w:rsidR="005C07DF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5C07DF" w:rsidRDefault="005F66F0" w:rsidP="007311FF">
            <w:r>
              <w:t xml:space="preserve">New API specification </w:t>
            </w:r>
          </w:p>
        </w:tc>
      </w:tr>
      <w:tr w:rsidR="0001323D" w:rsidTr="00415D76">
        <w:tc>
          <w:tcPr>
            <w:tcW w:w="9016" w:type="dxa"/>
            <w:gridSpan w:val="2"/>
          </w:tcPr>
          <w:p w:rsidR="005C07DF" w:rsidRPr="005C07DF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390F23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Where do you spend most time in terms of cost for regulatory reporting?</w:t>
            </w:r>
          </w:p>
        </w:tc>
        <w:tc>
          <w:tcPr>
            <w:tcW w:w="4508" w:type="dxa"/>
          </w:tcPr>
          <w:p w:rsidR="00390F23" w:rsidRDefault="005F66F0" w:rsidP="007311FF">
            <w:r>
              <w:t>Interpretation of regulations</w:t>
            </w:r>
          </w:p>
        </w:tc>
      </w:tr>
      <w:tr w:rsidR="0001323D" w:rsidTr="007311FF">
        <w:tc>
          <w:tcPr>
            <w:tcW w:w="4508" w:type="dxa"/>
            <w:vMerge/>
          </w:tcPr>
          <w:p w:rsidR="00390F23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390F23" w:rsidRDefault="005F66F0" w:rsidP="007311FF">
            <w:r>
              <w:t>Data distribution</w:t>
            </w:r>
          </w:p>
        </w:tc>
      </w:tr>
      <w:tr w:rsidR="0001323D" w:rsidTr="007311FF">
        <w:tc>
          <w:tcPr>
            <w:tcW w:w="4508" w:type="dxa"/>
            <w:vMerge/>
          </w:tcPr>
          <w:p w:rsidR="00390F23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390F23" w:rsidRDefault="005F66F0" w:rsidP="007311FF">
            <w:r>
              <w:t>Data storage</w:t>
            </w:r>
          </w:p>
        </w:tc>
      </w:tr>
      <w:tr w:rsidR="0001323D" w:rsidTr="007311FF">
        <w:tc>
          <w:tcPr>
            <w:tcW w:w="4508" w:type="dxa"/>
            <w:vMerge/>
          </w:tcPr>
          <w:p w:rsidR="00390F23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390F23" w:rsidRDefault="005F66F0" w:rsidP="007311FF">
            <w:r>
              <w:t xml:space="preserve">Data preparation </w:t>
            </w:r>
          </w:p>
        </w:tc>
      </w:tr>
      <w:tr w:rsidR="0001323D" w:rsidTr="00BB5ABB">
        <w:tc>
          <w:tcPr>
            <w:tcW w:w="9016" w:type="dxa"/>
            <w:gridSpan w:val="2"/>
          </w:tcPr>
          <w:p w:rsidR="00DF2F5D" w:rsidRPr="00DF2F5D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DF2F5D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Do you outsource reporting?</w:t>
            </w:r>
          </w:p>
          <w:p w:rsidR="00DF2F5D" w:rsidRDefault="005F66F0" w:rsidP="007311FF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7311FF">
            <w:r>
              <w:t>Yes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7311FF">
            <w:r>
              <w:t>No</w:t>
            </w:r>
          </w:p>
        </w:tc>
      </w:tr>
      <w:tr w:rsidR="0001323D" w:rsidTr="000E71D2">
        <w:tc>
          <w:tcPr>
            <w:tcW w:w="9016" w:type="dxa"/>
            <w:gridSpan w:val="2"/>
          </w:tcPr>
          <w:p w:rsidR="00DF2F5D" w:rsidRPr="00DF2F5D" w:rsidRDefault="005F66F0" w:rsidP="007311FF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01323D" w:rsidTr="007311FF">
        <w:tc>
          <w:tcPr>
            <w:tcW w:w="4508" w:type="dxa"/>
            <w:vMerge w:val="restart"/>
          </w:tcPr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If you outsource reporting, approximately how much is outsourced?</w:t>
            </w:r>
          </w:p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DF2F5D">
            <w:pPr>
              <w:rPr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0-20%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DF2F5D">
            <w:pPr>
              <w:rPr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20-40%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DF2F5D">
            <w:pPr>
              <w:rPr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40-60%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DF2F5D">
            <w:pPr>
              <w:rPr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60-80%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DF2F5D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</w:tcPr>
          <w:p w:rsidR="00DF2F5D" w:rsidRDefault="005F66F0" w:rsidP="00DF2F5D">
            <w:pPr>
              <w:rPr>
                <w:color w:val="000000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>80-100%</w:t>
            </w:r>
          </w:p>
        </w:tc>
      </w:tr>
      <w:tr w:rsidR="0001323D" w:rsidTr="005C07DF">
        <w:trPr>
          <w:trHeight w:val="181"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:rsidR="00DF2F5D" w:rsidRPr="005C07DF" w:rsidRDefault="005F66F0" w:rsidP="00DF2F5D">
            <w:pPr>
              <w:rPr>
                <w:rFonts w:ascii="Calibri" w:hAnsi="Calibri" w:cs="Calibri"/>
                <w:b/>
                <w:color w:val="000000"/>
                <w:shd w:val="clear" w:color="auto" w:fill="FBE4D5"/>
                <w:lang w:eastAsia="en-GB"/>
              </w:rPr>
            </w:pPr>
            <w:r w:rsidRPr="005C07DF">
              <w:rPr>
                <w:rFonts w:ascii="Calibri" w:hAnsi="Calibri" w:cs="Calibri"/>
                <w:b/>
                <w:color w:val="000000"/>
                <w:shd w:val="clear" w:color="auto" w:fill="FBE4D5" w:themeFill="accent2" w:themeFillTint="33"/>
                <w:lang w:eastAsia="en-GB"/>
              </w:rPr>
              <w:t>Other</w:t>
            </w:r>
          </w:p>
        </w:tc>
      </w:tr>
      <w:tr w:rsidR="0001323D" w:rsidTr="007311FF">
        <w:tc>
          <w:tcPr>
            <w:tcW w:w="4508" w:type="dxa"/>
            <w:vMerge w:val="restart"/>
          </w:tcPr>
          <w:p w:rsidR="00DF2F5D" w:rsidRPr="007311FF" w:rsidRDefault="005F66F0" w:rsidP="00DF2F5D">
            <w:pPr>
              <w:rPr>
                <w:rFonts w:ascii="Calibri" w:hAnsi="Calibri" w:cs="Calibri"/>
                <w:color w:val="6C1D45"/>
                <w:lang w:eastAsia="en-GB"/>
              </w:rPr>
            </w:pPr>
            <w:r w:rsidRPr="007311FF">
              <w:rPr>
                <w:rFonts w:ascii="Calibri" w:hAnsi="Calibri" w:cs="Calibri"/>
                <w:color w:val="000000"/>
                <w:lang w:eastAsia="en-GB"/>
              </w:rPr>
              <w:t xml:space="preserve">Would likely be willing to answer a more detailed survey in the next few months on regulatory reporting costs? If so, please contact </w:t>
            </w:r>
            <w:hyperlink r:id="rId5" w:history="1">
              <w:r>
                <w:rPr>
                  <w:rStyle w:val="Hyperlink"/>
                  <w:rFonts w:ascii="Calibri" w:hAnsi="Calibri" w:cs="Calibri"/>
                  <w:color w:val="6C1D45"/>
                  <w:sz w:val="21"/>
                  <w:szCs w:val="21"/>
                  <w:lang w:val="en" w:eastAsia="en-GB"/>
                </w:rPr>
                <w:t>[Insert Your Email Address]</w:t>
              </w:r>
            </w:hyperlink>
          </w:p>
        </w:tc>
        <w:tc>
          <w:tcPr>
            <w:tcW w:w="4508" w:type="dxa"/>
          </w:tcPr>
          <w:p w:rsidR="00DF2F5D" w:rsidRPr="007311FF" w:rsidRDefault="005F66F0" w:rsidP="00DF2F5D">
            <w:r w:rsidRPr="007311FF">
              <w:t>Yes</w:t>
            </w:r>
          </w:p>
        </w:tc>
      </w:tr>
      <w:tr w:rsidR="0001323D" w:rsidTr="007311FF">
        <w:tc>
          <w:tcPr>
            <w:tcW w:w="4508" w:type="dxa"/>
            <w:vMerge/>
          </w:tcPr>
          <w:p w:rsidR="00DF2F5D" w:rsidRDefault="005F66F0" w:rsidP="00DF2F5D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DF2F5D" w:rsidRPr="007311FF" w:rsidRDefault="005F66F0" w:rsidP="00DF2F5D">
            <w:r w:rsidRPr="007311FF">
              <w:t>No</w:t>
            </w:r>
          </w:p>
        </w:tc>
      </w:tr>
    </w:tbl>
    <w:p w:rsidR="007311FF" w:rsidRDefault="005F66F0" w:rsidP="007311FF">
      <w:pPr>
        <w:jc w:val="center"/>
        <w:rPr>
          <w:b/>
        </w:rPr>
      </w:pPr>
    </w:p>
    <w:p w:rsidR="007311FF" w:rsidRPr="007311FF" w:rsidRDefault="005F66F0" w:rsidP="007311FF">
      <w:pPr>
        <w:jc w:val="center"/>
        <w:rPr>
          <w:b/>
        </w:rPr>
      </w:pPr>
    </w:p>
    <w:sectPr w:rsidR="007311FF" w:rsidRPr="00731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47C6"/>
    <w:multiLevelType w:val="hybridMultilevel"/>
    <w:tmpl w:val="93CED86E"/>
    <w:lvl w:ilvl="0" w:tplc="C40C7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9ADF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DCC8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44D0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BC9E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0EC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5090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96F8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6079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3D"/>
    <w:rsid w:val="0001323D"/>
    <w:rsid w:val="005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B7DDB-27D6-4B2E-8D9C-B88CE83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1FF"/>
    <w:rPr>
      <w:color w:val="0563C1"/>
      <w:u w:val="single"/>
    </w:rPr>
  </w:style>
  <w:style w:type="table" w:styleId="TableGrid">
    <w:name w:val="Table Grid"/>
    <w:basedOn w:val="TableNormal"/>
    <w:uiPriority w:val="39"/>
    <w:rsid w:val="0073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7311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BD"/>
    <w:rPr>
      <w:b/>
      <w:bCs/>
      <w:sz w:val="20"/>
      <w:szCs w:val="20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06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tech@fc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Al Sharaf</dc:creator>
  <cp:lastModifiedBy>Yasmeen Al Sharaf</cp:lastModifiedBy>
  <cp:revision>2</cp:revision>
  <cp:lastPrinted>2019-08-08T12:53:00Z</cp:lastPrinted>
  <dcterms:created xsi:type="dcterms:W3CDTF">2019-08-08T12:53:00Z</dcterms:created>
  <dcterms:modified xsi:type="dcterms:W3CDTF">2019-08-08T12:53:00Z</dcterms:modified>
</cp:coreProperties>
</file>